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0017/2013 vom 21. Februar 2013</w:t>
      </w:r>
    </w:p>
    <w:p>
      <w:r>
        <w:t>ZH Baurekursgericht, 2013-02-21, DE</w:t>
      </w:r>
    </w:p>
    <w:p>
      <w:r>
        <w:rPr>
          <w:b/>
        </w:rPr>
        <w:t xml:space="preserve">Quelle: </w:t>
      </w:r>
      <w:r>
        <w:t>https://mcp.opencaselaw.ch/entscheid/zh_baurekursgericht_BRGE IV Nr. 0017_2013</w:t>
      </w:r>
    </w:p>
    <w:p>
      <w:r>
        <w:t>FR: ZH_BAUREKURSGERICHT BRGE IV Nr. 0017/2013 du 21 février 2013</w:t>
      </w:r>
    </w:p>
    <w:p>
      <w:r>
        <w:t>IT: ZH_BAUREKURSGERICHT BRGE IV Nr. 0017/2013 del 21 febbraio 2013</w:t>
      </w:r>
    </w:p>
    <w:p>
      <w:pPr>
        <w:pStyle w:val="Heading2"/>
      </w:pPr>
      <w:r>
        <w:t>Regeste</w:t>
      </w:r>
    </w:p>
    <w:p>
      <w:r>
        <w:t>Im Rahmen eines Vorentscheids kann keine Abbruchbewilligung für ein potentielles Schutzobjekt in Aussicht gestellt werden. Ein solches Vorgehen führt insbesondere auch zur Umgehung des Verbandsbeschwerderechts. Der Entscheid über das Objekt ist förmlich durch die zuständige Behörde zu treffen. Die blosse Genehmigung eines Beschlusses der das Geschäft vorbereitenden Behörde genügt nicht.</w:t>
      </w:r>
    </w:p>
    <w:p>
      <w:pPr>
        <w:pStyle w:val="Heading2"/>
      </w:pPr>
      <w:r>
        <w:t>Erwägungen</w:t>
      </w:r>
    </w:p>
    <w:p>
      <w:r>
        <w:rPr>
          <w:b/>
        </w:rPr>
        <w:t>E. 4</w:t>
      </w:r>
    </w:p>
    <w:p>
      <w:r>
        <w:t>Soweit die Rekurrierenden die Unabhängigkeit der kommunalen Behörde bezweifelt, so ist es systemimmanent, dass eine örtliche Behörde über ei- gene Bauvorhaben und auch über die Schutzwürdigkeit von kommunalen Schutzobjekten zu befinden hat. Dies wurde vom Gesetzgeber bewusst in Kauf genommen.</w:t>
      </w:r>
    </w:p>
    <w:p>
      <w:r>
        <w:rPr>
          <w:b/>
        </w:rPr>
        <w:t>E. 5</w:t>
      </w:r>
    </w:p>
    <w:p>
      <w:r>
        <w:t>Zusammenfassend ist der Rekurs gutzuheissen, soweit darauf einzutreten ist. R4.2012.00158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